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0" w:rsidRDefault="00E75430" w:rsidP="00E75430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19D7">
        <w:rPr>
          <w:rFonts w:ascii="Arial" w:hAnsi="Arial" w:cs="Arial"/>
          <w:bCs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5 </w:t>
      </w:r>
      <w:r w:rsidRPr="004519D7">
        <w:rPr>
          <w:rFonts w:ascii="Arial" w:hAnsi="Arial" w:cs="Arial"/>
          <w:bCs/>
          <w:color w:val="000000"/>
          <w:sz w:val="22"/>
          <w:szCs w:val="22"/>
        </w:rPr>
        <w:t>Принципы обеспечения безопасности</w:t>
      </w:r>
    </w:p>
    <w:tbl>
      <w:tblPr>
        <w:tblStyle w:val="a4"/>
        <w:tblW w:w="0" w:type="auto"/>
        <w:tblLook w:val="00BF"/>
      </w:tblPr>
      <w:tblGrid>
        <w:gridCol w:w="677"/>
        <w:gridCol w:w="2390"/>
        <w:gridCol w:w="6504"/>
      </w:tblGrid>
      <w:tr w:rsidR="00E75430" w:rsidRPr="004519D7" w:rsidTr="00602D02"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Ориентирующие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Активности</w:t>
            </w:r>
          </w:p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еловека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(оператора)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Поддержание функциональных систем человека в состоянии постоянной готовности «вмешаться» в процесс, например, осущ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ствляемый в автоматическом режиме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Гуманизации</w:t>
            </w:r>
            <w:proofErr w:type="spellEnd"/>
          </w:p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синтезе любых </w:t>
            </w: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эргатических</w:t>
            </w:r>
            <w:proofErr w:type="spell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первостепенное вним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ние необходимо уделять требованиям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Деструкции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Система, приводящая к опасному результату, разрушается за счет исключения из нее одного или нескольких элементов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Замены оператора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Функции оператора поручаются роботам, манипуляторам или 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ключаются за счет изменения технологического процесса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приемов в области знания и деятельн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 как средство для установления отношений между некотор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ми понятиями с целью принятия безопасных решений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Ликвидации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Устранение опасных и вредных факторов профилактическими мерами: изменением технологии, заменой опасных веществ безопасными, применением более безопасного оборудования, научной организацией труда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Любое явление, действие, всякий объект необходимо рассма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ривать с системных позиций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Снижения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сравнительно безопасных решений за счет ко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промисса интересов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Блокировки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взаимодействия частей рассматриваемой системы, при котором достигается требуемая степень безопа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ности. Различают механические, электрические, радиационные, пневматические и другие виды блокировок.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Вакуумирования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Проведение технологических процессов при пониженном давл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нии по сравнению с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атмосферным</w:t>
            </w:r>
            <w:proofErr w:type="gramEnd"/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Герметизации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уплотнения, при котором исключается уте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ка большого количества вредного или опасного агента из замкн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того объема в окружающую среду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</w:t>
            </w:r>
          </w:p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расстоянием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такого расстояния между человеком и источником опасности, при котором обеспечивается заданный уровень без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Компрессии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 безопасности процесс осуществляется под повышенным давлением по сравнению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атмосферным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Прочности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повышения уровня безопасности усиливают способность материалов, конструкций и их элементов сопротивляться разр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шениям или остаточным деформациям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Слабого звена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используются специальные конструкти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ные элементы, которые разрушаются или срабатывают при определенных значениях опасных факторов, обеспечивая сохра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ность системы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Флегматизации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Применение ингибиторов и инертных компонентов для замедл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скорости реакций или превращения горючих веществ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нег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рючие и невзрывоопасные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Экранирования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Между источником опасности и человеком устанавливается пр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града, гарантирующая определенный уровень безопасности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 временем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Сокращение до безопасных значений длительности нахождения людей в условиях воздействия опасностей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Отображение в той или иной форме свойств объективной реал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ности, необходимых для принятия решений, направленных на обеспечение безопасности (обучение, инструктаж, знаки и на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писи)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Несовместимости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Пространственное разделение веществ, материалов, оборуд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вания, помещений, людей и других объектов реального мира с целью обеспечения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Нормирования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Регламентирование условий, соблюдение которых обеспечивает заданный уровень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Подбора кадров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Выбор квалифицированного, надежного и, по возможности, пр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веренного персонала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Последовательное достижение промежуточных целей и колич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ственных показателей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Резервирования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Одновременное применение нескольких устройств, способов, приемов, направленных на защиту от одной и той же 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430" w:rsidRPr="004519D7" w:rsidRDefault="00E75430" w:rsidP="00602D0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Эргономичности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обеспечения безопасности необходимо учитывать характ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ристики человека</w:t>
            </w:r>
          </w:p>
        </w:tc>
      </w:tr>
      <w:tr w:rsidR="00E75430" w:rsidRPr="004519D7" w:rsidTr="00602D02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75430" w:rsidRPr="00336A9F" w:rsidRDefault="00E75430" w:rsidP="00602D0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Адекватности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достижения требуемого уровня безопасности управляющая и управляемая системы должны быть адекватны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различных льгот для восстановления равнов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сия психофизиологических процессов, предупреждения нежел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тельных изменений в состоянии здоровья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системы надзора и проверок объектов на соотве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ствие их регламентированным требованиям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Обратной связи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Получение информации о состоянии безопасности управляемой системы после воздействия на нее управляющей системы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Плановости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Заблаговременное планирование организационных и технич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ских мероприятий по обеспечению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Стимулирования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Учет количества и качества затраченного труда при распредел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нии материальных благ и моральном поощрении лиц, принима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ших участие в решении задач безопасности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Заданный уровень безопасности системы достигается с пом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щью соответствующей организации</w:t>
            </w:r>
          </w:p>
        </w:tc>
      </w:tr>
      <w:tr w:rsidR="00E75430" w:rsidRPr="004519D7" w:rsidTr="00602D02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430" w:rsidRPr="004519D7" w:rsidRDefault="00E75430" w:rsidP="00602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Сопоставление затрат и выгод при решении проблем безопасн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</w:t>
            </w:r>
          </w:p>
        </w:tc>
      </w:tr>
    </w:tbl>
    <w:p w:rsidR="00E75430" w:rsidRDefault="00E75430" w:rsidP="00E75430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right="64" w:firstLine="720"/>
        <w:jc w:val="both"/>
        <w:rPr>
          <w:rFonts w:ascii="Arial" w:hAnsi="Arial" w:cs="Arial"/>
          <w:color w:val="000000"/>
        </w:rPr>
      </w:pPr>
      <w:r w:rsidRPr="00EF3D98">
        <w:rPr>
          <w:rFonts w:ascii="Arial" w:hAnsi="Arial" w:cs="Arial"/>
          <w:b/>
          <w:color w:val="000000"/>
          <w:u w:val="single"/>
        </w:rPr>
        <w:t>Ориентирующие принципы</w:t>
      </w:r>
      <w:r>
        <w:rPr>
          <w:rFonts w:ascii="Arial" w:hAnsi="Arial" w:cs="Arial"/>
          <w:color w:val="000000"/>
        </w:rPr>
        <w:t xml:space="preserve"> представляют собой основополагающие идеи, определяющие направление поиска безопасных решений и служащие м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тодологической и информационной базой.</w:t>
      </w:r>
    </w:p>
    <w:p w:rsidR="00E75430" w:rsidRPr="00CC4466" w:rsidRDefault="00E75430" w:rsidP="00E75430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right="64" w:firstLine="720"/>
        <w:jc w:val="both"/>
        <w:rPr>
          <w:rFonts w:ascii="Arial" w:hAnsi="Arial" w:cs="Arial"/>
        </w:rPr>
      </w:pPr>
      <w:r w:rsidRPr="00EF3D98">
        <w:rPr>
          <w:rFonts w:ascii="Arial" w:hAnsi="Arial" w:cs="Arial"/>
          <w:b/>
          <w:color w:val="000000"/>
          <w:u w:val="single"/>
        </w:rPr>
        <w:t>Технические принципы</w:t>
      </w:r>
      <w:r>
        <w:rPr>
          <w:rFonts w:ascii="Arial" w:hAnsi="Arial" w:cs="Arial"/>
          <w:color w:val="000000"/>
        </w:rPr>
        <w:t xml:space="preserve">  </w:t>
      </w:r>
      <w:r w:rsidRPr="00EF3D98">
        <w:rPr>
          <w:rFonts w:ascii="Arial" w:hAnsi="Arial" w:cs="Arial"/>
          <w:color w:val="000000"/>
        </w:rPr>
        <w:t>направ</w:t>
      </w:r>
      <w:r>
        <w:rPr>
          <w:rFonts w:ascii="Arial" w:hAnsi="Arial" w:cs="Arial"/>
          <w:color w:val="000000"/>
        </w:rPr>
        <w:t>лены на непосредственное предотвр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щение действия опасностей. Технические принципы основаны на использовании физических законов. </w:t>
      </w:r>
      <w:r w:rsidRPr="00EF3D98">
        <w:rPr>
          <w:rFonts w:ascii="Arial" w:hAnsi="Arial" w:cs="Arial"/>
        </w:rPr>
        <w:t>К техническим принципам</w:t>
      </w:r>
      <w:r>
        <w:rPr>
          <w:rFonts w:ascii="Arial" w:hAnsi="Arial" w:cs="Arial"/>
        </w:rPr>
        <w:t xml:space="preserve"> относятся </w:t>
      </w:r>
      <w:r w:rsidRPr="00EF3D98">
        <w:rPr>
          <w:rFonts w:ascii="Arial" w:hAnsi="Arial" w:cs="Arial"/>
          <w:u w:val="single"/>
        </w:rPr>
        <w:t>инженерно-технические решения</w:t>
      </w:r>
      <w:r w:rsidRPr="00CC446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защита расстоянием и временем, экранирование опасн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сти, слабое звено</w:t>
      </w:r>
      <w:r>
        <w:rPr>
          <w:rStyle w:val="a3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(предохранители, клапаны),  </w:t>
      </w:r>
      <w:r w:rsidRPr="00CC4466">
        <w:rPr>
          <w:rFonts w:ascii="Arial" w:hAnsi="Arial" w:cs="Arial"/>
        </w:rPr>
        <w:t>блокировки, герметизация об</w:t>
      </w:r>
      <w:r w:rsidRPr="00CC4466">
        <w:rPr>
          <w:rFonts w:ascii="Arial" w:hAnsi="Arial" w:cs="Arial"/>
        </w:rPr>
        <w:t>о</w:t>
      </w:r>
      <w:r w:rsidRPr="00CC4466">
        <w:rPr>
          <w:rFonts w:ascii="Arial" w:hAnsi="Arial" w:cs="Arial"/>
        </w:rPr>
        <w:t>рудования и процессов, автоматизированные системы управления и др.</w:t>
      </w:r>
    </w:p>
    <w:p w:rsidR="00E75430" w:rsidRPr="00CC4466" w:rsidRDefault="00E75430" w:rsidP="00E75430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F32DE7">
        <w:rPr>
          <w:rFonts w:ascii="Arial" w:hAnsi="Arial" w:cs="Arial"/>
          <w:b/>
          <w:u w:val="single"/>
        </w:rPr>
        <w:t>Организационные принципы</w:t>
      </w:r>
      <w:r w:rsidRPr="00CC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реализуют в целях безопасности полож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ния научной организации деятельности (труда). Они </w:t>
      </w:r>
      <w:r w:rsidRPr="00CC4466">
        <w:rPr>
          <w:rFonts w:ascii="Arial" w:hAnsi="Arial" w:cs="Arial"/>
        </w:rPr>
        <w:t>включают в себя нормир</w:t>
      </w:r>
      <w:r w:rsidRPr="00CC4466">
        <w:rPr>
          <w:rFonts w:ascii="Arial" w:hAnsi="Arial" w:cs="Arial"/>
        </w:rPr>
        <w:t>о</w:t>
      </w:r>
      <w:r w:rsidRPr="00CC4466">
        <w:rPr>
          <w:rFonts w:ascii="Arial" w:hAnsi="Arial" w:cs="Arial"/>
        </w:rPr>
        <w:t>вание</w:t>
      </w:r>
      <w:r>
        <w:rPr>
          <w:rStyle w:val="a3"/>
          <w:rFonts w:ascii="Arial" w:hAnsi="Arial" w:cs="Arial"/>
        </w:rPr>
        <w:footnoteReference w:id="2"/>
      </w:r>
      <w:r w:rsidRPr="00CC4466">
        <w:rPr>
          <w:rFonts w:ascii="Arial" w:hAnsi="Arial" w:cs="Arial"/>
        </w:rPr>
        <w:t xml:space="preserve"> опасных и вредных факторов, режимы труда и отдыха, обучение кадров, обеспечение средствами индивидуальной защиты, медицинские обследования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компенсации (например, предоставление льгот лицам, работающим в опасных зонах) </w:t>
      </w:r>
      <w:r w:rsidRPr="00CC4466">
        <w:rPr>
          <w:rFonts w:ascii="Arial" w:hAnsi="Arial" w:cs="Arial"/>
        </w:rPr>
        <w:t>и др.</w:t>
      </w:r>
    </w:p>
    <w:p w:rsidR="00E75430" w:rsidRPr="00CC4466" w:rsidRDefault="00E75430" w:rsidP="00E75430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F32DE7">
        <w:rPr>
          <w:rFonts w:ascii="Arial" w:hAnsi="Arial" w:cs="Arial"/>
          <w:b/>
          <w:u w:val="single"/>
        </w:rPr>
        <w:t>Управленческие принципы</w:t>
      </w:r>
      <w:r w:rsidRPr="00CC44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определяют взаимосвязь и отношения между отдельными стадиями и этапами процесса обеспечения безопасности. Эти при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ципы </w:t>
      </w:r>
      <w:r w:rsidRPr="00CC4466">
        <w:rPr>
          <w:rFonts w:ascii="Arial" w:hAnsi="Arial" w:cs="Arial"/>
        </w:rPr>
        <w:t>состоят из планирования</w:t>
      </w:r>
      <w:r>
        <w:rPr>
          <w:rFonts w:ascii="Arial" w:hAnsi="Arial" w:cs="Arial"/>
        </w:rPr>
        <w:t xml:space="preserve"> профилактических и иных мероприятий</w:t>
      </w:r>
      <w:r w:rsidRPr="00CC4466">
        <w:rPr>
          <w:rFonts w:ascii="Arial" w:hAnsi="Arial" w:cs="Arial"/>
        </w:rPr>
        <w:t>, подбора и расстановки кадров, распределения ответственности, организации контроля исполнения решений, стимулировани</w:t>
      </w:r>
      <w:r>
        <w:rPr>
          <w:rFonts w:ascii="Arial" w:hAnsi="Arial" w:cs="Arial"/>
        </w:rPr>
        <w:t>я (личный интерес), компенсаций (предо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тавления различных видов льгот)</w:t>
      </w:r>
      <w:r w:rsidRPr="00CC4466">
        <w:rPr>
          <w:rFonts w:ascii="Arial" w:hAnsi="Arial" w:cs="Arial"/>
        </w:rPr>
        <w:t xml:space="preserve"> и др.</w:t>
      </w:r>
    </w:p>
    <w:p w:rsidR="00452232" w:rsidRDefault="00D2722E"/>
    <w:p w:rsidR="00E75430" w:rsidRDefault="00E75430" w:rsidP="00E75430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СКЗ и </w:t>
      </w:r>
      <w:proofErr w:type="gramStart"/>
      <w:r>
        <w:rPr>
          <w:rFonts w:ascii="Arial" w:hAnsi="Arial" w:cs="Arial"/>
        </w:rPr>
        <w:t>СИЗ</w:t>
      </w:r>
      <w:proofErr w:type="gramEnd"/>
      <w:r>
        <w:rPr>
          <w:rFonts w:ascii="Arial" w:hAnsi="Arial" w:cs="Arial"/>
        </w:rPr>
        <w:t xml:space="preserve"> </w:t>
      </w:r>
      <w:r w:rsidRPr="009A6DC1">
        <w:rPr>
          <w:rFonts w:ascii="Arial" w:hAnsi="Arial" w:cs="Arial"/>
          <w:u w:val="single"/>
        </w:rPr>
        <w:t>делятся на группы</w:t>
      </w:r>
      <w:r w:rsidRPr="00CC4466">
        <w:rPr>
          <w:rFonts w:ascii="Arial" w:hAnsi="Arial" w:cs="Arial"/>
        </w:rPr>
        <w:t xml:space="preserve"> в зависимости  от</w:t>
      </w:r>
      <w:r>
        <w:rPr>
          <w:rFonts w:ascii="Arial" w:hAnsi="Arial" w:cs="Arial"/>
        </w:rPr>
        <w:t>:</w:t>
      </w:r>
    </w:p>
    <w:p w:rsidR="00E75430" w:rsidRDefault="00E75430" w:rsidP="00E754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4466">
        <w:rPr>
          <w:rFonts w:ascii="Arial" w:hAnsi="Arial" w:cs="Arial"/>
        </w:rPr>
        <w:t xml:space="preserve"> характера </w:t>
      </w:r>
      <w:r>
        <w:rPr>
          <w:rFonts w:ascii="Arial" w:hAnsi="Arial" w:cs="Arial"/>
        </w:rPr>
        <w:t>опасных и вредных факторов (средства защиты от шума, вибрации, электростатических зарядов и т.д.)</w:t>
      </w:r>
      <w:r w:rsidRPr="00CC4466">
        <w:rPr>
          <w:rFonts w:ascii="Arial" w:hAnsi="Arial" w:cs="Arial"/>
        </w:rPr>
        <w:t xml:space="preserve">, </w:t>
      </w:r>
    </w:p>
    <w:p w:rsidR="00E75430" w:rsidRDefault="00E75430" w:rsidP="00E754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466">
        <w:rPr>
          <w:rFonts w:ascii="Arial" w:hAnsi="Arial" w:cs="Arial"/>
        </w:rPr>
        <w:t>конструктивного</w:t>
      </w:r>
      <w:r>
        <w:rPr>
          <w:rFonts w:ascii="Arial" w:hAnsi="Arial" w:cs="Arial"/>
        </w:rPr>
        <w:t xml:space="preserve"> (технического) </w:t>
      </w:r>
      <w:r w:rsidRPr="00CC4466">
        <w:rPr>
          <w:rFonts w:ascii="Arial" w:hAnsi="Arial" w:cs="Arial"/>
        </w:rPr>
        <w:t xml:space="preserve">исполнения, </w:t>
      </w:r>
    </w:p>
    <w:p w:rsidR="00E75430" w:rsidRDefault="00E75430" w:rsidP="00E754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C4466">
        <w:rPr>
          <w:rFonts w:ascii="Arial" w:hAnsi="Arial" w:cs="Arial"/>
        </w:rPr>
        <w:t>области применения и т.д.</w:t>
      </w:r>
    </w:p>
    <w:tbl>
      <w:tblPr>
        <w:tblStyle w:val="a4"/>
        <w:tblW w:w="0" w:type="auto"/>
        <w:tblLook w:val="01E0"/>
      </w:tblPr>
      <w:tblGrid>
        <w:gridCol w:w="671"/>
        <w:gridCol w:w="8900"/>
      </w:tblGrid>
      <w:tr w:rsidR="00E75430" w:rsidRPr="008254D3" w:rsidTr="00602D02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4D3">
              <w:rPr>
                <w:rFonts w:ascii="Arial" w:hAnsi="Arial" w:cs="Arial"/>
                <w:b/>
                <w:sz w:val="22"/>
                <w:szCs w:val="22"/>
              </w:rPr>
              <w:t>СКЗ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оградительные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(изоляция опасных зон, экранирование, ограничение зоны де</w:t>
            </w:r>
            <w:r w:rsidRPr="008254D3">
              <w:rPr>
                <w:rFonts w:ascii="Arial" w:hAnsi="Arial" w:cs="Arial"/>
                <w:sz w:val="22"/>
                <w:szCs w:val="22"/>
              </w:rPr>
              <w:t>й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ствия вещества или энергии;  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предохранительные</w:t>
            </w:r>
            <w:r w:rsidRPr="008254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75430" w:rsidRPr="008254D3" w:rsidRDefault="00E75430" w:rsidP="00602D02">
            <w:pPr>
              <w:spacing w:before="20" w:line="288" w:lineRule="auto"/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8254D3">
              <w:rPr>
                <w:rFonts w:ascii="Arial" w:hAnsi="Arial" w:cs="Arial"/>
                <w:sz w:val="22"/>
                <w:szCs w:val="22"/>
              </w:rPr>
              <w:t>активные (регуляторы режима работы по скорости, температуре, давлению, току, напряжению и т.п.);</w:t>
            </w:r>
          </w:p>
          <w:p w:rsidR="00E75430" w:rsidRPr="008254D3" w:rsidRDefault="00E75430" w:rsidP="00602D02">
            <w:pPr>
              <w:spacing w:before="20" w:line="288" w:lineRule="auto"/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254D3">
              <w:rPr>
                <w:rFonts w:ascii="Arial" w:hAnsi="Arial" w:cs="Arial"/>
                <w:sz w:val="22"/>
                <w:szCs w:val="22"/>
              </w:rPr>
              <w:t>пассивные</w:t>
            </w:r>
            <w:proofErr w:type="gramEnd"/>
            <w:r w:rsidRPr="008254D3">
              <w:rPr>
                <w:rFonts w:ascii="Arial" w:hAnsi="Arial" w:cs="Arial"/>
                <w:sz w:val="22"/>
                <w:szCs w:val="22"/>
              </w:rPr>
              <w:t xml:space="preserve"> (слабое звено в системе);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блокировочные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(предотвращают ошибочные действия оператора);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устройства дистанционного управления, роботы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(выводят человека из опа</w:t>
            </w:r>
            <w:r w:rsidRPr="008254D3">
              <w:rPr>
                <w:rFonts w:ascii="Arial" w:hAnsi="Arial" w:cs="Arial"/>
                <w:sz w:val="22"/>
                <w:szCs w:val="22"/>
              </w:rPr>
              <w:t>с</w:t>
            </w:r>
            <w:r w:rsidRPr="008254D3">
              <w:rPr>
                <w:rFonts w:ascii="Arial" w:hAnsi="Arial" w:cs="Arial"/>
                <w:sz w:val="22"/>
                <w:szCs w:val="22"/>
              </w:rPr>
              <w:t>ной зоны);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средства автоматического контроля и сигнализации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(информационные, пр</w:t>
            </w:r>
            <w:r w:rsidRPr="008254D3">
              <w:rPr>
                <w:rFonts w:ascii="Arial" w:hAnsi="Arial" w:cs="Arial"/>
                <w:sz w:val="22"/>
                <w:szCs w:val="22"/>
              </w:rPr>
              <w:t>е</w:t>
            </w:r>
            <w:r w:rsidRPr="008254D3">
              <w:rPr>
                <w:rFonts w:ascii="Arial" w:hAnsi="Arial" w:cs="Arial"/>
                <w:sz w:val="22"/>
                <w:szCs w:val="22"/>
              </w:rPr>
              <w:t>дупреждающие, аварийные):</w:t>
            </w:r>
          </w:p>
          <w:p w:rsidR="00E75430" w:rsidRPr="008254D3" w:rsidRDefault="00E75430" w:rsidP="00602D02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звуковые;</w:t>
            </w:r>
          </w:p>
          <w:p w:rsidR="00E75430" w:rsidRPr="008254D3" w:rsidRDefault="00E75430" w:rsidP="00602D02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световые;</w:t>
            </w:r>
          </w:p>
          <w:p w:rsidR="00E75430" w:rsidRPr="008254D3" w:rsidRDefault="00E75430" w:rsidP="00602D02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цветовые;</w:t>
            </w:r>
          </w:p>
          <w:p w:rsidR="00E75430" w:rsidRPr="008254D3" w:rsidRDefault="00E75430" w:rsidP="00602D02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знаковые;</w:t>
            </w:r>
          </w:p>
          <w:p w:rsidR="00E75430" w:rsidRPr="008254D3" w:rsidRDefault="00E75430" w:rsidP="00602D02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254D3">
              <w:rPr>
                <w:rFonts w:ascii="Arial" w:hAnsi="Arial" w:cs="Arial"/>
                <w:sz w:val="22"/>
                <w:szCs w:val="22"/>
              </w:rPr>
              <w:t>одорантные</w:t>
            </w:r>
            <w:proofErr w:type="spellEnd"/>
            <w:r w:rsidRPr="008254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5430" w:rsidRPr="008254D3" w:rsidTr="00602D02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4D3">
              <w:rPr>
                <w:rFonts w:ascii="Arial" w:hAnsi="Arial" w:cs="Arial"/>
                <w:b/>
                <w:sz w:val="22"/>
                <w:szCs w:val="22"/>
              </w:rPr>
              <w:t>СИЗ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защитная одежда и обувь;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головы;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глаз;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слуха;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органов дыхания;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кожи (специальные мази);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предохранительные пояса;</w:t>
            </w:r>
          </w:p>
        </w:tc>
      </w:tr>
      <w:tr w:rsidR="00E75430" w:rsidRPr="008254D3" w:rsidTr="00602D02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5430" w:rsidRPr="008254D3" w:rsidRDefault="00E75430" w:rsidP="00602D0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E75430" w:rsidRPr="008254D3" w:rsidRDefault="00E75430" w:rsidP="00602D02">
            <w:pPr>
              <w:numPr>
                <w:ilvl w:val="0"/>
                <w:numId w:val="1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рук.</w:t>
            </w:r>
          </w:p>
        </w:tc>
      </w:tr>
    </w:tbl>
    <w:p w:rsidR="00E75430" w:rsidRDefault="00E75430" w:rsidP="00E75430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7F4B8B">
        <w:rPr>
          <w:rFonts w:ascii="Arial" w:hAnsi="Arial" w:cs="Arial"/>
          <w:b/>
          <w:color w:val="000000"/>
          <w:sz w:val="24"/>
          <w:szCs w:val="24"/>
        </w:rPr>
        <w:lastRenderedPageBreak/>
        <w:t>Предельно допустимая концентрация вредного вещества в воздухе р</w:t>
      </w:r>
      <w:r w:rsidRPr="007F4B8B">
        <w:rPr>
          <w:rFonts w:ascii="Arial" w:hAnsi="Arial" w:cs="Arial"/>
          <w:b/>
          <w:color w:val="000000"/>
          <w:sz w:val="24"/>
          <w:szCs w:val="24"/>
        </w:rPr>
        <w:t>а</w:t>
      </w:r>
      <w:r w:rsidRPr="007F4B8B">
        <w:rPr>
          <w:rFonts w:ascii="Arial" w:hAnsi="Arial" w:cs="Arial"/>
          <w:b/>
          <w:color w:val="000000"/>
          <w:sz w:val="24"/>
          <w:szCs w:val="24"/>
        </w:rPr>
        <w:t xml:space="preserve">бочей зоны 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spellStart"/>
      <w:r w:rsidRPr="007F4B8B">
        <w:rPr>
          <w:rFonts w:ascii="Arial" w:hAnsi="Arial" w:cs="Arial"/>
          <w:b/>
          <w:color w:val="000000"/>
          <w:sz w:val="24"/>
          <w:szCs w:val="24"/>
        </w:rPr>
        <w:t>ПДК</w:t>
      </w:r>
      <w:r w:rsidRPr="007F4B8B">
        <w:rPr>
          <w:rFonts w:ascii="Arial" w:hAnsi="Arial" w:cs="Arial"/>
          <w:b/>
          <w:color w:val="000000"/>
          <w:sz w:val="24"/>
          <w:szCs w:val="24"/>
          <w:vertAlign w:val="subscript"/>
        </w:rPr>
        <w:t>р.з</w:t>
      </w:r>
      <w:proofErr w:type="spellEnd"/>
      <w:r w:rsidRPr="007F4B8B">
        <w:rPr>
          <w:rFonts w:ascii="Arial" w:hAnsi="Arial" w:cs="Arial"/>
          <w:b/>
          <w:color w:val="000000"/>
          <w:sz w:val="24"/>
          <w:szCs w:val="24"/>
          <w:vertAlign w:val="subscript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 w:rsidRPr="00AD742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– </w:t>
      </w:r>
      <w:r w:rsidRPr="00742E53">
        <w:rPr>
          <w:rFonts w:ascii="Arial" w:hAnsi="Arial" w:cs="Arial"/>
          <w:color w:val="000000"/>
          <w:sz w:val="24"/>
          <w:szCs w:val="24"/>
        </w:rPr>
        <w:t>такая концентрация вещества в воздухе рабочей зоны, к</w:t>
      </w:r>
      <w:r w:rsidRPr="00742E53">
        <w:rPr>
          <w:rFonts w:ascii="Arial" w:hAnsi="Arial" w:cs="Arial"/>
          <w:color w:val="000000"/>
          <w:sz w:val="24"/>
          <w:szCs w:val="24"/>
        </w:rPr>
        <w:t>о</w:t>
      </w:r>
      <w:r w:rsidRPr="00742E53">
        <w:rPr>
          <w:rFonts w:ascii="Arial" w:hAnsi="Arial" w:cs="Arial"/>
          <w:color w:val="000000"/>
          <w:sz w:val="24"/>
          <w:szCs w:val="24"/>
        </w:rPr>
        <w:t>торая при ежедневной (кроме выходных дней) работе в течение 8 часов или другой продолжительности, но не более 40 часов в неделю, в течение всего рабочего ст</w:t>
      </w:r>
      <w:r w:rsidRPr="00742E53">
        <w:rPr>
          <w:rFonts w:ascii="Arial" w:hAnsi="Arial" w:cs="Arial"/>
          <w:color w:val="000000"/>
          <w:sz w:val="24"/>
          <w:szCs w:val="24"/>
        </w:rPr>
        <w:t>а</w:t>
      </w:r>
      <w:r w:rsidRPr="00742E53">
        <w:rPr>
          <w:rFonts w:ascii="Arial" w:hAnsi="Arial" w:cs="Arial"/>
          <w:color w:val="000000"/>
          <w:sz w:val="24"/>
          <w:szCs w:val="24"/>
        </w:rPr>
        <w:t>жа не может вызывать заболевания или отклонения в состоянии здоровья, обнар</w:t>
      </w:r>
      <w:r w:rsidRPr="00742E53">
        <w:rPr>
          <w:rFonts w:ascii="Arial" w:hAnsi="Arial" w:cs="Arial"/>
          <w:color w:val="000000"/>
          <w:sz w:val="24"/>
          <w:szCs w:val="24"/>
        </w:rPr>
        <w:t>у</w:t>
      </w:r>
      <w:r w:rsidRPr="00742E53">
        <w:rPr>
          <w:rFonts w:ascii="Arial" w:hAnsi="Arial" w:cs="Arial"/>
          <w:color w:val="000000"/>
          <w:sz w:val="24"/>
          <w:szCs w:val="24"/>
        </w:rPr>
        <w:t>живаемых современными методами исследования в процессе рабо</w:t>
      </w:r>
      <w:r w:rsidRPr="00742E53">
        <w:rPr>
          <w:rFonts w:ascii="Arial" w:hAnsi="Arial" w:cs="Arial"/>
          <w:color w:val="000000"/>
          <w:sz w:val="24"/>
          <w:szCs w:val="24"/>
        </w:rPr>
        <w:softHyphen/>
        <w:t>ты</w:t>
      </w:r>
      <w:proofErr w:type="gramEnd"/>
      <w:r w:rsidRPr="00742E53">
        <w:rPr>
          <w:rFonts w:ascii="Arial" w:hAnsi="Arial" w:cs="Arial"/>
          <w:color w:val="000000"/>
          <w:sz w:val="24"/>
          <w:szCs w:val="24"/>
        </w:rPr>
        <w:t xml:space="preserve"> или в отд</w:t>
      </w:r>
      <w:r w:rsidRPr="00742E53">
        <w:rPr>
          <w:rFonts w:ascii="Arial" w:hAnsi="Arial" w:cs="Arial"/>
          <w:color w:val="000000"/>
          <w:sz w:val="24"/>
          <w:szCs w:val="24"/>
        </w:rPr>
        <w:t>а</w:t>
      </w:r>
      <w:r w:rsidRPr="00742E53">
        <w:rPr>
          <w:rFonts w:ascii="Arial" w:hAnsi="Arial" w:cs="Arial"/>
          <w:color w:val="000000"/>
          <w:sz w:val="24"/>
          <w:szCs w:val="24"/>
        </w:rPr>
        <w:t>ленные сроки жизни настоящего и последующих поколений.</w:t>
      </w:r>
    </w:p>
    <w:p w:rsidR="00E75430" w:rsidRDefault="00E75430"/>
    <w:p w:rsidR="00E75430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CE7195">
        <w:rPr>
          <w:rFonts w:ascii="Arial" w:hAnsi="Arial" w:cs="Arial"/>
          <w:color w:val="000000"/>
          <w:sz w:val="22"/>
          <w:szCs w:val="22"/>
        </w:rPr>
        <w:t>Классификация и характеристика видов риска</w:t>
      </w:r>
    </w:p>
    <w:tbl>
      <w:tblPr>
        <w:tblStyle w:val="a4"/>
        <w:tblW w:w="0" w:type="auto"/>
        <w:jc w:val="center"/>
        <w:tblLayout w:type="fixed"/>
        <w:tblLook w:val="01E0"/>
      </w:tblPr>
      <w:tblGrid>
        <w:gridCol w:w="1800"/>
        <w:gridCol w:w="9"/>
        <w:gridCol w:w="2127"/>
        <w:gridCol w:w="10"/>
        <w:gridCol w:w="3099"/>
        <w:gridCol w:w="9"/>
        <w:gridCol w:w="2743"/>
      </w:tblGrid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Вид риска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 риска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риска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Нежелательное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событие</w:t>
            </w:r>
          </w:p>
        </w:tc>
      </w:tr>
      <w:tr w:rsidR="00E75430" w:rsidTr="00602D02">
        <w:trPr>
          <w:jc w:val="center"/>
        </w:trPr>
        <w:tc>
          <w:tcPr>
            <w:tcW w:w="1809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2127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118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Условия жизнедеятельн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743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Заболевание, травма, инвалидность, смерть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Технические си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темы и объекты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Техническое несоверше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ство, нарушение правил эксплуатации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ТСиО</w:t>
            </w:r>
            <w:proofErr w:type="spellEnd"/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Авария, взрыв, пожар, разрушение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Экологические системы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Антропогенное вмешател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ство в природную среду, техногенные чрезвычайные ситуации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Антропогенные экол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гические катастрофы, стихийные бедствия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гру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Чрезвычайная ситуация, снижение качества жизни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Групповые травмы, заболевания, гибель 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дей, рост смертности</w:t>
            </w:r>
          </w:p>
        </w:tc>
      </w:tr>
      <w:tr w:rsidR="00E75430" w:rsidTr="00602D02">
        <w:trPr>
          <w:jc w:val="center"/>
        </w:trPr>
        <w:tc>
          <w:tcPr>
            <w:tcW w:w="1800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Экономический</w:t>
            </w:r>
          </w:p>
        </w:tc>
        <w:tc>
          <w:tcPr>
            <w:tcW w:w="2146" w:type="dxa"/>
            <w:gridSpan w:val="3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Материальные ресурсы</w:t>
            </w:r>
          </w:p>
        </w:tc>
        <w:tc>
          <w:tcPr>
            <w:tcW w:w="3099" w:type="dxa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Повышенная опасность производства или приро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ной среды</w:t>
            </w:r>
          </w:p>
        </w:tc>
        <w:tc>
          <w:tcPr>
            <w:tcW w:w="2752" w:type="dxa"/>
            <w:gridSpan w:val="2"/>
          </w:tcPr>
          <w:p w:rsidR="00E75430" w:rsidRDefault="00E75430" w:rsidP="00602D02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Увеличение затрат на безопасность, ущерб от недостаточной защ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щенности</w:t>
            </w:r>
          </w:p>
        </w:tc>
      </w:tr>
    </w:tbl>
    <w:p w:rsidR="00E75430" w:rsidRPr="00CE7195" w:rsidRDefault="00E75430" w:rsidP="00E7543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E75430" w:rsidRDefault="00E75430"/>
    <w:sectPr w:rsidR="00E75430" w:rsidSect="00E6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2E" w:rsidRDefault="00D2722E" w:rsidP="00E75430">
      <w:r>
        <w:separator/>
      </w:r>
    </w:p>
  </w:endnote>
  <w:endnote w:type="continuationSeparator" w:id="0">
    <w:p w:rsidR="00D2722E" w:rsidRDefault="00D2722E" w:rsidP="00E7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2E" w:rsidRDefault="00D2722E" w:rsidP="00E75430">
      <w:r>
        <w:separator/>
      </w:r>
    </w:p>
  </w:footnote>
  <w:footnote w:type="continuationSeparator" w:id="0">
    <w:p w:rsidR="00D2722E" w:rsidRDefault="00D2722E" w:rsidP="00E75430">
      <w:r>
        <w:continuationSeparator/>
      </w:r>
    </w:p>
  </w:footnote>
  <w:footnote w:id="1">
    <w:p w:rsidR="00E75430" w:rsidRPr="008B5DE8" w:rsidRDefault="00E75430" w:rsidP="00E7543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8B5DE8">
        <w:rPr>
          <w:rFonts w:ascii="Arial" w:hAnsi="Arial" w:cs="Arial"/>
          <w:b/>
          <w:sz w:val="22"/>
          <w:szCs w:val="22"/>
          <w:u w:val="single"/>
        </w:rPr>
        <w:t xml:space="preserve">Слабое звено </w:t>
      </w:r>
      <w:r w:rsidRPr="008B5DE8">
        <w:rPr>
          <w:rFonts w:ascii="Arial" w:hAnsi="Arial" w:cs="Arial"/>
          <w:sz w:val="22"/>
          <w:szCs w:val="22"/>
        </w:rPr>
        <w:t>– слабый элемент, специально включенный в систему, для обеспечения ее безопасности (например, предохранители, молниеотводы, защитное заземление и др.).</w:t>
      </w:r>
    </w:p>
  </w:footnote>
  <w:footnote w:id="2">
    <w:p w:rsidR="00E75430" w:rsidRDefault="00E75430" w:rsidP="00E75430">
      <w:pPr>
        <w:jc w:val="both"/>
      </w:pPr>
      <w:r>
        <w:rPr>
          <w:rStyle w:val="a3"/>
        </w:rPr>
        <w:footnoteRef/>
      </w:r>
      <w:r>
        <w:t xml:space="preserve"> </w:t>
      </w:r>
      <w:r w:rsidRPr="00553282">
        <w:rPr>
          <w:rFonts w:ascii="Arial" w:hAnsi="Arial" w:cs="Arial"/>
          <w:b/>
          <w:i/>
          <w:sz w:val="22"/>
          <w:szCs w:val="22"/>
          <w:u w:val="single"/>
        </w:rPr>
        <w:t xml:space="preserve">Нормирование </w:t>
      </w:r>
      <w:r w:rsidRPr="00553282">
        <w:rPr>
          <w:rFonts w:ascii="Arial" w:hAnsi="Arial" w:cs="Arial"/>
          <w:i/>
          <w:sz w:val="22"/>
          <w:szCs w:val="22"/>
        </w:rPr>
        <w:t xml:space="preserve">– </w:t>
      </w:r>
      <w:r w:rsidRPr="008B5DE8">
        <w:rPr>
          <w:rFonts w:ascii="Arial" w:hAnsi="Arial" w:cs="Arial"/>
          <w:sz w:val="22"/>
          <w:szCs w:val="22"/>
        </w:rPr>
        <w:t>установление параметров, соблюдение которых обеспечит защиту человека от опасностей, например, предельно допустимые концентрации (ПДК), предельно допустимый уровень (ПДУ), нормы переноски тяжестей, продолжительность р</w:t>
      </w:r>
      <w:r w:rsidRPr="008B5DE8">
        <w:rPr>
          <w:rFonts w:ascii="Arial" w:hAnsi="Arial" w:cs="Arial"/>
          <w:sz w:val="22"/>
          <w:szCs w:val="22"/>
        </w:rPr>
        <w:t>а</w:t>
      </w:r>
      <w:r w:rsidRPr="008B5DE8">
        <w:rPr>
          <w:rFonts w:ascii="Arial" w:hAnsi="Arial" w:cs="Arial"/>
          <w:sz w:val="22"/>
          <w:szCs w:val="22"/>
        </w:rPr>
        <w:t>бочего времени 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181"/>
    <w:multiLevelType w:val="hybridMultilevel"/>
    <w:tmpl w:val="277291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30"/>
    <w:rsid w:val="00943B7D"/>
    <w:rsid w:val="00A00345"/>
    <w:rsid w:val="00D2722E"/>
    <w:rsid w:val="00E61480"/>
    <w:rsid w:val="00E7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75430"/>
    <w:rPr>
      <w:vertAlign w:val="superscript"/>
    </w:rPr>
  </w:style>
  <w:style w:type="table" w:styleId="a4">
    <w:name w:val="Table Grid"/>
    <w:basedOn w:val="a1"/>
    <w:rsid w:val="00E7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5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1256</Words>
  <Characters>7163</Characters>
  <Application>Microsoft Office Word</Application>
  <DocSecurity>0</DocSecurity>
  <Lines>59</Lines>
  <Paragraphs>16</Paragraphs>
  <ScaleCrop>false</ScaleCrop>
  <Company>DG Win&amp;Soft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2015-09-28T17:11:00Z</dcterms:created>
  <dcterms:modified xsi:type="dcterms:W3CDTF">2015-09-28T17:15:00Z</dcterms:modified>
</cp:coreProperties>
</file>